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0DFB852D"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CD3FB0">
        <w:rPr>
          <w:rFonts w:ascii="Arial" w:hAnsi="Arial"/>
          <w:b/>
          <w:sz w:val="24"/>
          <w:szCs w:val="24"/>
        </w:rPr>
        <w:t>4</w:t>
      </w:r>
      <w:r w:rsidRPr="00B64708">
        <w:rPr>
          <w:rFonts w:ascii="Arial" w:hAnsi="Arial"/>
          <w:b/>
          <w:i/>
          <w:noProof/>
          <w:sz w:val="24"/>
          <w:szCs w:val="24"/>
        </w:rPr>
        <w:tab/>
      </w:r>
      <w:r w:rsidRPr="00347FF7">
        <w:rPr>
          <w:rFonts w:ascii="Arial" w:hAnsi="Arial"/>
          <w:b/>
          <w:sz w:val="24"/>
          <w:szCs w:val="24"/>
        </w:rPr>
        <w:t>R4-2</w:t>
      </w:r>
      <w:r w:rsidR="00CD3FB0">
        <w:rPr>
          <w:rFonts w:ascii="Arial" w:hAnsi="Arial"/>
          <w:b/>
          <w:sz w:val="24"/>
          <w:szCs w:val="24"/>
        </w:rPr>
        <w:t>50</w:t>
      </w:r>
      <w:r w:rsidR="00B80F05">
        <w:rPr>
          <w:rFonts w:ascii="Arial" w:hAnsi="Arial"/>
          <w:b/>
          <w:sz w:val="24"/>
          <w:szCs w:val="24"/>
        </w:rPr>
        <w:t>2010</w:t>
      </w:r>
    </w:p>
    <w:p w14:paraId="5D43EEDF" w14:textId="0C6C2A0D" w:rsidR="00BD0D23" w:rsidRPr="00B64708" w:rsidRDefault="00CD3FB0"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Pr>
          <w:rFonts w:ascii="Arial" w:hAnsi="Arial"/>
          <w:b/>
          <w:bCs/>
          <w:sz w:val="24"/>
          <w:szCs w:val="24"/>
        </w:rPr>
        <w:t>17</w:t>
      </w:r>
      <w:r w:rsidR="00BD0D23">
        <w:rPr>
          <w:rFonts w:ascii="Arial" w:hAnsi="Arial"/>
          <w:b/>
          <w:bCs/>
          <w:sz w:val="24"/>
          <w:szCs w:val="24"/>
        </w:rPr>
        <w:t xml:space="preserve"> </w:t>
      </w:r>
      <w:r w:rsidR="00BD0D23" w:rsidRPr="00151594">
        <w:rPr>
          <w:rFonts w:ascii="Arial" w:hAnsi="Arial"/>
          <w:b/>
          <w:bCs/>
          <w:sz w:val="24"/>
          <w:szCs w:val="24"/>
        </w:rPr>
        <w:t xml:space="preserve">– </w:t>
      </w:r>
      <w:r w:rsidR="00114D43">
        <w:rPr>
          <w:rFonts w:ascii="Arial" w:hAnsi="Arial"/>
          <w:b/>
          <w:bCs/>
          <w:sz w:val="24"/>
          <w:szCs w:val="24"/>
        </w:rPr>
        <w:t>2</w:t>
      </w:r>
      <w:r>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5A05BDD0"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FA6D8D">
        <w:rPr>
          <w:rFonts w:ascii="Arial" w:hAnsi="Arial" w:cs="Arial"/>
          <w:sz w:val="24"/>
          <w:szCs w:val="22"/>
        </w:rPr>
        <w:t>7</w:t>
      </w:r>
      <w:r w:rsidR="00CD3FB0">
        <w:rPr>
          <w:rFonts w:ascii="Arial" w:hAnsi="Arial" w:cs="Arial"/>
          <w:sz w:val="24"/>
          <w:szCs w:val="22"/>
        </w:rPr>
        <w:t>.</w:t>
      </w:r>
      <w:r w:rsidR="00FA6D8D">
        <w:rPr>
          <w:rFonts w:ascii="Arial" w:hAnsi="Arial" w:cs="Arial"/>
          <w:sz w:val="24"/>
          <w:szCs w:val="22"/>
        </w:rPr>
        <w:t>10</w:t>
      </w:r>
      <w:r w:rsidR="00CD3FB0">
        <w:rPr>
          <w:rFonts w:ascii="Arial" w:hAnsi="Arial" w:cs="Arial"/>
          <w:sz w:val="24"/>
          <w:szCs w:val="22"/>
        </w:rPr>
        <w:t>.</w:t>
      </w:r>
      <w:r w:rsidR="00FA6D8D">
        <w:rPr>
          <w:rFonts w:ascii="Arial" w:hAnsi="Arial" w:cs="Arial"/>
          <w:sz w:val="24"/>
          <w:szCs w:val="22"/>
        </w:rPr>
        <w:t>2.2.1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33408E2"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68098B">
        <w:rPr>
          <w:rFonts w:ascii="Arial" w:hAnsi="Arial" w:cs="Arial"/>
          <w:sz w:val="24"/>
          <w:lang w:val="en-US" w:eastAsia="ja-JP"/>
        </w:rPr>
        <w:t xml:space="preserve">NR </w:t>
      </w:r>
      <w:r w:rsidR="0087365A" w:rsidRPr="0087365A">
        <w:rPr>
          <w:rFonts w:ascii="Arial" w:hAnsi="Arial" w:cs="Arial"/>
          <w:sz w:val="24"/>
          <w:lang w:val="en-US" w:eastAsia="ja-JP"/>
        </w:rPr>
        <w:t>NTN high power UE</w:t>
      </w:r>
      <w:r w:rsidR="008425A3">
        <w:rPr>
          <w:rFonts w:ascii="Arial" w:hAnsi="Arial" w:cs="Arial"/>
          <w:sz w:val="24"/>
          <w:lang w:val="en-US" w:eastAsia="ja-JP"/>
        </w:rPr>
        <w:t xml:space="preserve"> </w:t>
      </w:r>
      <w:r w:rsidR="0068098B">
        <w:rPr>
          <w:rFonts w:ascii="Arial" w:hAnsi="Arial" w:cs="Arial"/>
          <w:sz w:val="24"/>
          <w:lang w:val="en-US" w:eastAsia="ja-JP"/>
        </w:rPr>
        <w:t xml:space="preserve">Tx </w:t>
      </w:r>
      <w:r w:rsidR="008425A3">
        <w:rPr>
          <w:rFonts w:ascii="Arial" w:hAnsi="Arial" w:cs="Arial"/>
          <w:sz w:val="24"/>
          <w:lang w:val="en-US" w:eastAsia="ja-JP"/>
        </w:rPr>
        <w:t>requirements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3732E096" w:rsidR="00284627" w:rsidRDefault="00FA73BF" w:rsidP="00833CE7">
      <w:pPr>
        <w:spacing w:after="120"/>
        <w:jc w:val="both"/>
        <w:rPr>
          <w:lang w:eastAsia="ja-JP"/>
        </w:rPr>
      </w:pPr>
      <w:r>
        <w:rPr>
          <w:lang w:eastAsia="ja-JP"/>
        </w:rPr>
        <w:t xml:space="preserve">The work item for enhanced requirements and conductive test methodology for NR NTN and IoT NTN </w:t>
      </w:r>
      <w:r w:rsidR="0084196E">
        <w:rPr>
          <w:lang w:eastAsia="ja-JP"/>
        </w:rPr>
        <w:t>has been approved</w:t>
      </w:r>
      <w:r w:rsidR="007B043E">
        <w:rPr>
          <w:lang w:eastAsia="ja-JP"/>
        </w:rPr>
        <w:t xml:space="preserve">. </w:t>
      </w:r>
      <w:r w:rsidR="0084196E">
        <w:rPr>
          <w:lang w:eastAsia="ja-JP"/>
        </w:rPr>
        <w:t xml:space="preserve">One of the objectives is </w:t>
      </w:r>
      <w:r w:rsidR="003753D5">
        <w:rPr>
          <w:lang w:eastAsia="ja-JP"/>
        </w:rPr>
        <w:t xml:space="preserve">high power UE operation for NTN. In this contribution </w:t>
      </w:r>
      <w:r w:rsidR="00AF4F2C">
        <w:rPr>
          <w:lang w:eastAsia="ja-JP"/>
        </w:rPr>
        <w:t>UE RF requirements and feasibility of NTN HPUE are discussed.</w:t>
      </w:r>
    </w:p>
    <w:p w14:paraId="65283513" w14:textId="77777777" w:rsidR="00BE63E2" w:rsidRPr="007408EB" w:rsidRDefault="00BE63E2" w:rsidP="00833CE7">
      <w:pPr>
        <w:spacing w:after="120"/>
        <w:jc w:val="both"/>
        <w:rPr>
          <w:rFonts w:ascii="Arial" w:hAnsi="Arial" w:cs="Arial"/>
          <w:lang w:eastAsia="ja-JP"/>
        </w:rPr>
      </w:pPr>
    </w:p>
    <w:p w14:paraId="2C40FC98" w14:textId="7961F6E6" w:rsidR="007E44DF" w:rsidRPr="003E0C6D" w:rsidRDefault="00C549D3" w:rsidP="003E0C6D">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B4F4992" w14:textId="64B5A9AA" w:rsidR="00C93941" w:rsidRDefault="00983807" w:rsidP="00445E27">
      <w:pPr>
        <w:spacing w:after="120"/>
        <w:rPr>
          <w:bCs/>
        </w:rPr>
      </w:pPr>
      <w:r>
        <w:rPr>
          <w:bCs/>
        </w:rPr>
        <w:t xml:space="preserve">For </w:t>
      </w:r>
      <w:r w:rsidR="00C46324">
        <w:rPr>
          <w:bCs/>
        </w:rPr>
        <w:t>UE RF architecture, NR TN HPUE conclusions need further consideration. For NR, PC2 is allowed to use dual Tx (</w:t>
      </w:r>
      <w:proofErr w:type="spellStart"/>
      <w:r w:rsidR="00C46324">
        <w:rPr>
          <w:bCs/>
        </w:rPr>
        <w:t>tx</w:t>
      </w:r>
      <w:proofErr w:type="spellEnd"/>
      <w:r w:rsidR="00C46324">
        <w:rPr>
          <w:bCs/>
        </w:rPr>
        <w:t xml:space="preserve"> diversity) implementation, but PC1.5 is specified to always apply dual Tx. </w:t>
      </w:r>
      <w:r w:rsidR="001B46DC">
        <w:rPr>
          <w:bCs/>
        </w:rPr>
        <w:t>For NTN UL-MIMO has not been considered</w:t>
      </w:r>
      <w:r w:rsidR="003B325B">
        <w:rPr>
          <w:bCs/>
        </w:rPr>
        <w:t>, as UL-MIMO typically needs good SNR to give benefits.</w:t>
      </w:r>
      <w:r w:rsidR="00C93941">
        <w:rPr>
          <w:bCs/>
        </w:rPr>
        <w:t xml:space="preserve"> </w:t>
      </w:r>
      <w:r w:rsidR="00ED7C9F" w:rsidRPr="00ED7C9F">
        <w:rPr>
          <w:bCs/>
        </w:rPr>
        <w:t>For NR NTN</w:t>
      </w:r>
      <w:r w:rsidR="009D1620">
        <w:rPr>
          <w:bCs/>
        </w:rPr>
        <w:t xml:space="preserve"> up to PC1.5 is specified currently for TN </w:t>
      </w:r>
      <w:r w:rsidR="004C494D">
        <w:rPr>
          <w:bCs/>
        </w:rPr>
        <w:t xml:space="preserve">for TDD bands. The same or similar hardware </w:t>
      </w:r>
      <w:r w:rsidR="00731E3C">
        <w:rPr>
          <w:bCs/>
        </w:rPr>
        <w:t>could be used to support PC1.5 for NTN.</w:t>
      </w:r>
      <w:r w:rsidR="00550576">
        <w:rPr>
          <w:bCs/>
        </w:rPr>
        <w:t xml:space="preserve"> Re-use from TN would mean that </w:t>
      </w:r>
      <w:r w:rsidR="00C247EA">
        <w:rPr>
          <w:bCs/>
        </w:rPr>
        <w:t>PC1.5 is based on dual-Tx architecture.</w:t>
      </w:r>
      <w:r w:rsidR="00425FF6">
        <w:rPr>
          <w:bCs/>
        </w:rPr>
        <w:t xml:space="preserve"> </w:t>
      </w:r>
    </w:p>
    <w:p w14:paraId="4F7BB7B7" w14:textId="4867EF48" w:rsidR="00C93941" w:rsidRDefault="002B718C" w:rsidP="00445E27">
      <w:pPr>
        <w:spacing w:after="120"/>
        <w:rPr>
          <w:bCs/>
        </w:rPr>
      </w:pPr>
      <w:r>
        <w:rPr>
          <w:bCs/>
        </w:rPr>
        <w:t xml:space="preserve">With PC2 being commercialized </w:t>
      </w:r>
      <w:r w:rsidR="005320A3">
        <w:rPr>
          <w:bCs/>
        </w:rPr>
        <w:t>in handheld devices, also component designs have been evolved to tolerate higher powers. PC2 single Tx measurement results are commonplace in A-MPR evaluations in TN side</w:t>
      </w:r>
      <w:r w:rsidR="00C12C8C">
        <w:rPr>
          <w:bCs/>
        </w:rPr>
        <w:t xml:space="preserve">. </w:t>
      </w:r>
      <w:proofErr w:type="gramStart"/>
      <w:r w:rsidR="00C12C8C">
        <w:rPr>
          <w:bCs/>
        </w:rPr>
        <w:t>Also</w:t>
      </w:r>
      <w:proofErr w:type="gramEnd"/>
      <w:r w:rsidR="00C12C8C">
        <w:rPr>
          <w:bCs/>
        </w:rPr>
        <w:t xml:space="preserve"> duplexers have evolved </w:t>
      </w:r>
      <w:r w:rsidR="006A6D76">
        <w:rPr>
          <w:bCs/>
        </w:rPr>
        <w:t>and more duplexers capable of handling PC2 power levels are coming to market.</w:t>
      </w:r>
    </w:p>
    <w:p w14:paraId="1A118445" w14:textId="14E4F57A" w:rsidR="00321ECF" w:rsidRDefault="00034A75" w:rsidP="00445E27">
      <w:pPr>
        <w:spacing w:after="120"/>
        <w:rPr>
          <w:bCs/>
        </w:rPr>
      </w:pPr>
      <w:r>
        <w:rPr>
          <w:bCs/>
        </w:rPr>
        <w:t>Looking at commercially available components is not however the best way to the consider feasibility, as often the development of those components really gathers speed only after the standard allowing the use of higher powers becomes available.</w:t>
      </w:r>
    </w:p>
    <w:p w14:paraId="021D899A" w14:textId="3F481188" w:rsidR="006A6D76" w:rsidRDefault="006A6D76" w:rsidP="00445E27">
      <w:pPr>
        <w:spacing w:after="120"/>
        <w:rPr>
          <w:b/>
        </w:rPr>
      </w:pPr>
      <w:r w:rsidRPr="00321ECF">
        <w:rPr>
          <w:b/>
        </w:rPr>
        <w:t xml:space="preserve">Observation 1: Single Tx PC2 PAs and duplexers </w:t>
      </w:r>
      <w:r w:rsidR="003B4153">
        <w:rPr>
          <w:b/>
        </w:rPr>
        <w:t xml:space="preserve">are </w:t>
      </w:r>
      <w:r w:rsidR="00321ECF" w:rsidRPr="00321ECF">
        <w:rPr>
          <w:b/>
        </w:rPr>
        <w:t>feasible</w:t>
      </w:r>
      <w:r w:rsidRPr="00321ECF">
        <w:rPr>
          <w:b/>
        </w:rPr>
        <w:t>.</w:t>
      </w:r>
    </w:p>
    <w:p w14:paraId="60621580" w14:textId="4AD56912" w:rsidR="006976FA" w:rsidRPr="00321ECF" w:rsidRDefault="006976FA" w:rsidP="00445E27">
      <w:pPr>
        <w:spacing w:after="120"/>
        <w:rPr>
          <w:b/>
        </w:rPr>
      </w:pPr>
      <w:r>
        <w:rPr>
          <w:b/>
        </w:rPr>
        <w:t>Observation 2: Typically</w:t>
      </w:r>
      <w:r w:rsidR="003B4153">
        <w:rPr>
          <w:b/>
        </w:rPr>
        <w:t>,</w:t>
      </w:r>
      <w:r>
        <w:rPr>
          <w:b/>
        </w:rPr>
        <w:t xml:space="preserve"> the component availability improves once the standard </w:t>
      </w:r>
      <w:r w:rsidR="008E16EB">
        <w:rPr>
          <w:b/>
        </w:rPr>
        <w:t>is in place allowing the use of such components – without a market there is limited need to make such components commercially available.</w:t>
      </w:r>
    </w:p>
    <w:p w14:paraId="65233D10" w14:textId="11BC455D" w:rsidR="00450919" w:rsidRDefault="00450919" w:rsidP="00445E27">
      <w:pPr>
        <w:spacing w:after="120"/>
        <w:rPr>
          <w:b/>
        </w:rPr>
      </w:pPr>
      <w:r w:rsidRPr="000950D3">
        <w:rPr>
          <w:b/>
        </w:rPr>
        <w:t xml:space="preserve">Proposal </w:t>
      </w:r>
      <w:r w:rsidR="00425FF6">
        <w:rPr>
          <w:b/>
        </w:rPr>
        <w:t>1</w:t>
      </w:r>
      <w:r w:rsidRPr="000950D3">
        <w:rPr>
          <w:b/>
        </w:rPr>
        <w:t>: PC1.5 is feasible for NR NTN</w:t>
      </w:r>
      <w:r w:rsidR="00550576" w:rsidRPr="000950D3">
        <w:rPr>
          <w:b/>
        </w:rPr>
        <w:t xml:space="preserve"> for handheld devices.</w:t>
      </w:r>
      <w:r w:rsidR="00B27F22">
        <w:rPr>
          <w:b/>
        </w:rPr>
        <w:t xml:space="preserve"> </w:t>
      </w:r>
      <w:r w:rsidR="00425FF6">
        <w:rPr>
          <w:b/>
        </w:rPr>
        <w:t>At least</w:t>
      </w:r>
      <w:r w:rsidR="00B27F22">
        <w:rPr>
          <w:b/>
        </w:rPr>
        <w:t xml:space="preserve"> 2 Tx </w:t>
      </w:r>
      <w:r w:rsidR="00425FF6">
        <w:rPr>
          <w:b/>
        </w:rPr>
        <w:t>solution is feasible</w:t>
      </w:r>
      <w:r w:rsidR="006502E7">
        <w:rPr>
          <w:b/>
        </w:rPr>
        <w:t xml:space="preserve"> for FDD</w:t>
      </w:r>
      <w:r w:rsidR="003B4153">
        <w:rPr>
          <w:b/>
        </w:rPr>
        <w:t>.</w:t>
      </w:r>
    </w:p>
    <w:p w14:paraId="4806952A" w14:textId="77777777" w:rsidR="007C6B87" w:rsidRDefault="008044AB" w:rsidP="00445E27">
      <w:pPr>
        <w:spacing w:after="120"/>
        <w:rPr>
          <w:bCs/>
        </w:rPr>
      </w:pPr>
      <w:r>
        <w:rPr>
          <w:bCs/>
        </w:rPr>
        <w:t>F</w:t>
      </w:r>
      <w:r w:rsidR="00C93941">
        <w:rPr>
          <w:bCs/>
        </w:rPr>
        <w:t>or non-handheld devices</w:t>
      </w:r>
      <w:r>
        <w:rPr>
          <w:bCs/>
        </w:rPr>
        <w:t xml:space="preserve"> PC1.5 </w:t>
      </w:r>
      <w:r w:rsidR="006502E7">
        <w:rPr>
          <w:bCs/>
        </w:rPr>
        <w:t xml:space="preserve">solution </w:t>
      </w:r>
      <w:r w:rsidR="00C93941">
        <w:rPr>
          <w:bCs/>
        </w:rPr>
        <w:t>could use similar hardware as for PC1. PC1 for TN is specified for multiple FDD bands and assumes single Tx. TN PC1 solution could be scaled down to support NTN PC1.5 with single Tx, alternatively used to support NTN PC1.</w:t>
      </w:r>
    </w:p>
    <w:p w14:paraId="1B55A580" w14:textId="77777777" w:rsidR="00935376" w:rsidRDefault="007C6B87" w:rsidP="00445E27">
      <w:pPr>
        <w:spacing w:after="120"/>
        <w:rPr>
          <w:bCs/>
        </w:rPr>
      </w:pPr>
      <w:proofErr w:type="gramStart"/>
      <w:r>
        <w:rPr>
          <w:bCs/>
        </w:rPr>
        <w:t>Similar to</w:t>
      </w:r>
      <w:proofErr w:type="gramEnd"/>
      <w:r>
        <w:rPr>
          <w:bCs/>
        </w:rPr>
        <w:t xml:space="preserve"> a handheld device, 2Tx device can also be used in non-handheld devices. There are multiple reasons why </w:t>
      </w:r>
      <w:r w:rsidR="006C64BB">
        <w:rPr>
          <w:bCs/>
        </w:rPr>
        <w:t>also 2Tx PC1.5 needs to be considered. Firstly, similar RF front-end solution for both handheld and non-handheld</w:t>
      </w:r>
      <w:r w:rsidR="003E04FD">
        <w:rPr>
          <w:bCs/>
        </w:rPr>
        <w:t xml:space="preserve"> allows using the same components </w:t>
      </w:r>
      <w:r w:rsidR="00090D5C">
        <w:rPr>
          <w:bCs/>
        </w:rPr>
        <w:t xml:space="preserve">for both, and therefore taking advantages of the economies of scale. Secondly, there are specific </w:t>
      </w:r>
      <w:r w:rsidR="00935376">
        <w:rPr>
          <w:bCs/>
        </w:rPr>
        <w:t>use cases</w:t>
      </w:r>
      <w:r w:rsidR="00090D5C">
        <w:rPr>
          <w:bCs/>
        </w:rPr>
        <w:t xml:space="preserve"> where 2Tx solutions are preferable.</w:t>
      </w:r>
      <w:r w:rsidR="00D82C18">
        <w:rPr>
          <w:bCs/>
        </w:rPr>
        <w:t xml:space="preserve"> </w:t>
      </w:r>
    </w:p>
    <w:p w14:paraId="57FE3064" w14:textId="0DB6E381" w:rsidR="008A6336" w:rsidRDefault="00D82C18" w:rsidP="00445E27">
      <w:pPr>
        <w:spacing w:after="120"/>
        <w:rPr>
          <w:bCs/>
        </w:rPr>
      </w:pPr>
      <w:r>
        <w:rPr>
          <w:bCs/>
        </w:rPr>
        <w:t xml:space="preserve">For example, in automotive domain solutions are often 2Tx – this may be even required </w:t>
      </w:r>
      <w:r w:rsidR="00E343E4">
        <w:rPr>
          <w:bCs/>
        </w:rPr>
        <w:t xml:space="preserve">to have a higher likelihood for </w:t>
      </w:r>
      <w:proofErr w:type="gramStart"/>
      <w:r w:rsidR="00E343E4">
        <w:rPr>
          <w:bCs/>
        </w:rPr>
        <w:t>working</w:t>
      </w:r>
      <w:proofErr w:type="gramEnd"/>
      <w:r w:rsidR="00E343E4">
        <w:rPr>
          <w:bCs/>
        </w:rPr>
        <w:t xml:space="preserve"> Tx if there is a need to </w:t>
      </w:r>
      <w:r w:rsidR="00715D79">
        <w:rPr>
          <w:bCs/>
        </w:rPr>
        <w:t xml:space="preserve">place an emergency call after a crash. </w:t>
      </w:r>
      <w:proofErr w:type="gramStart"/>
      <w:r w:rsidR="00935376">
        <w:rPr>
          <w:bCs/>
        </w:rPr>
        <w:t>Similarly</w:t>
      </w:r>
      <w:proofErr w:type="gramEnd"/>
      <w:r w:rsidR="00935376">
        <w:rPr>
          <w:bCs/>
        </w:rPr>
        <w:t xml:space="preserve"> telematics systems may use 2Tx. This </w:t>
      </w:r>
      <w:r w:rsidR="001838A4">
        <w:rPr>
          <w:bCs/>
        </w:rPr>
        <w:t>again allows taking advantage of components developed for handheld UE ecosystem.</w:t>
      </w:r>
    </w:p>
    <w:p w14:paraId="6760FFB0" w14:textId="77777777" w:rsidR="00715D79" w:rsidRPr="00935376" w:rsidRDefault="006C64BB" w:rsidP="00445E27">
      <w:pPr>
        <w:spacing w:after="120"/>
        <w:rPr>
          <w:b/>
        </w:rPr>
      </w:pPr>
      <w:r w:rsidRPr="00935376">
        <w:rPr>
          <w:b/>
        </w:rPr>
        <w:t xml:space="preserve">Observation 3: 2Tx PC1.5 </w:t>
      </w:r>
      <w:r w:rsidR="003E04FD" w:rsidRPr="00935376">
        <w:rPr>
          <w:b/>
        </w:rPr>
        <w:t>solution allows taking advantage of economies of scale of handheld ecosystem.</w:t>
      </w:r>
    </w:p>
    <w:p w14:paraId="1F08BC5F" w14:textId="08C54186" w:rsidR="00DA1910" w:rsidRPr="00935376" w:rsidRDefault="00715D79" w:rsidP="00445E27">
      <w:pPr>
        <w:spacing w:after="120"/>
        <w:rPr>
          <w:b/>
        </w:rPr>
      </w:pPr>
      <w:r w:rsidRPr="00935376">
        <w:rPr>
          <w:b/>
        </w:rPr>
        <w:t xml:space="preserve">Observation 4: </w:t>
      </w:r>
      <w:r w:rsidR="00D02013" w:rsidRPr="00935376">
        <w:rPr>
          <w:b/>
        </w:rPr>
        <w:t xml:space="preserve">2Tx </w:t>
      </w:r>
      <w:r w:rsidR="008A6336" w:rsidRPr="00935376">
        <w:rPr>
          <w:b/>
        </w:rPr>
        <w:t xml:space="preserve">PC1.5 </w:t>
      </w:r>
      <w:r w:rsidR="00D02013" w:rsidRPr="00935376">
        <w:rPr>
          <w:b/>
        </w:rPr>
        <w:t xml:space="preserve">solution </w:t>
      </w:r>
      <w:r w:rsidR="008A6336" w:rsidRPr="00935376">
        <w:rPr>
          <w:b/>
        </w:rPr>
        <w:t>is preferred for automotive industry use cases</w:t>
      </w:r>
      <w:r w:rsidR="00D02013" w:rsidRPr="00935376">
        <w:rPr>
          <w:b/>
        </w:rPr>
        <w:t xml:space="preserve">  </w:t>
      </w:r>
      <w:r w:rsidRPr="00935376">
        <w:rPr>
          <w:b/>
        </w:rPr>
        <w:t xml:space="preserve"> </w:t>
      </w:r>
      <w:r w:rsidR="007C6B87" w:rsidRPr="00935376">
        <w:rPr>
          <w:b/>
        </w:rPr>
        <w:t xml:space="preserve"> </w:t>
      </w:r>
      <w:r w:rsidR="00C93941" w:rsidRPr="00935376">
        <w:rPr>
          <w:b/>
        </w:rPr>
        <w:t xml:space="preserve"> </w:t>
      </w:r>
    </w:p>
    <w:p w14:paraId="6AC3CDB5" w14:textId="222F4A94" w:rsidR="009146A4" w:rsidRDefault="000950D3" w:rsidP="00445E27">
      <w:pPr>
        <w:spacing w:after="120"/>
        <w:rPr>
          <w:b/>
        </w:rPr>
      </w:pPr>
      <w:r w:rsidRPr="000950D3">
        <w:rPr>
          <w:b/>
        </w:rPr>
        <w:t xml:space="preserve">Proposal </w:t>
      </w:r>
      <w:r w:rsidR="00425FF6">
        <w:rPr>
          <w:b/>
        </w:rPr>
        <w:t>2</w:t>
      </w:r>
      <w:r w:rsidRPr="000950D3">
        <w:rPr>
          <w:b/>
        </w:rPr>
        <w:t xml:space="preserve">: </w:t>
      </w:r>
      <w:r w:rsidR="00425FF6">
        <w:rPr>
          <w:b/>
        </w:rPr>
        <w:t xml:space="preserve">PC1.5 </w:t>
      </w:r>
      <w:r w:rsidR="00441BB3">
        <w:rPr>
          <w:b/>
        </w:rPr>
        <w:t xml:space="preserve">is </w:t>
      </w:r>
      <w:r w:rsidR="00425FF6">
        <w:rPr>
          <w:b/>
        </w:rPr>
        <w:t xml:space="preserve">feasible for </w:t>
      </w:r>
      <w:r w:rsidR="00DA1910">
        <w:rPr>
          <w:b/>
        </w:rPr>
        <w:t>NR NTN non-handheld devices</w:t>
      </w:r>
      <w:r w:rsidRPr="000950D3">
        <w:rPr>
          <w:b/>
        </w:rPr>
        <w:t>.</w:t>
      </w:r>
      <w:r w:rsidR="009B33A6">
        <w:rPr>
          <w:b/>
        </w:rPr>
        <w:t xml:space="preserve"> Requirements </w:t>
      </w:r>
      <w:r w:rsidR="00441BB3">
        <w:rPr>
          <w:b/>
        </w:rPr>
        <w:t>shall</w:t>
      </w:r>
      <w:r w:rsidR="009B33A6">
        <w:rPr>
          <w:b/>
        </w:rPr>
        <w:t xml:space="preserve"> be </w:t>
      </w:r>
      <w:r w:rsidR="00441BB3">
        <w:rPr>
          <w:b/>
        </w:rPr>
        <w:t>defined</w:t>
      </w:r>
      <w:r w:rsidR="009B33A6">
        <w:rPr>
          <w:b/>
        </w:rPr>
        <w:t xml:space="preserve"> </w:t>
      </w:r>
      <w:r w:rsidR="00441BB3">
        <w:rPr>
          <w:b/>
        </w:rPr>
        <w:t>at least for 2Tx solution.</w:t>
      </w:r>
    </w:p>
    <w:p w14:paraId="7CAEB968" w14:textId="3AAD533F" w:rsidR="00CD3FB0" w:rsidRDefault="00E3035D" w:rsidP="00445E27">
      <w:pPr>
        <w:spacing w:after="120"/>
        <w:rPr>
          <w:bCs/>
        </w:rPr>
      </w:pPr>
      <w:r w:rsidRPr="00E3035D">
        <w:rPr>
          <w:bCs/>
        </w:rPr>
        <w:t>B</w:t>
      </w:r>
      <w:r>
        <w:rPr>
          <w:bCs/>
        </w:rPr>
        <w:t xml:space="preserve">ased on co-existence study results, </w:t>
      </w:r>
      <w:r w:rsidR="0031108E">
        <w:rPr>
          <w:bCs/>
        </w:rPr>
        <w:t xml:space="preserve">PC3 ACLR could be sufficient to fulfil co-existence needs. However, this would diverge NTN and TN requirements from each other, as well as </w:t>
      </w:r>
      <w:r w:rsidR="00643C5B">
        <w:rPr>
          <w:bCs/>
        </w:rPr>
        <w:t xml:space="preserve">require </w:t>
      </w:r>
      <w:proofErr w:type="gramStart"/>
      <w:r w:rsidR="00643C5B">
        <w:rPr>
          <w:bCs/>
        </w:rPr>
        <w:t>to derive</w:t>
      </w:r>
      <w:proofErr w:type="gramEnd"/>
      <w:r w:rsidR="00643C5B">
        <w:rPr>
          <w:bCs/>
        </w:rPr>
        <w:t xml:space="preserve"> new MPR requirements</w:t>
      </w:r>
      <w:r w:rsidR="0050487C">
        <w:rPr>
          <w:bCs/>
        </w:rPr>
        <w:t xml:space="preserve">. </w:t>
      </w:r>
      <w:r w:rsidR="00DE2169">
        <w:rPr>
          <w:bCs/>
        </w:rPr>
        <w:t xml:space="preserve">With 30 </w:t>
      </w:r>
      <w:proofErr w:type="spellStart"/>
      <w:r w:rsidR="00DE2169">
        <w:rPr>
          <w:bCs/>
        </w:rPr>
        <w:t>dBc</w:t>
      </w:r>
      <w:proofErr w:type="spellEnd"/>
      <w:r w:rsidR="00DE2169">
        <w:rPr>
          <w:bCs/>
        </w:rPr>
        <w:t xml:space="preserve"> </w:t>
      </w:r>
      <w:r w:rsidR="00DE2169">
        <w:rPr>
          <w:bCs/>
        </w:rPr>
        <w:lastRenderedPageBreak/>
        <w:t xml:space="preserve">ACLR requirement </w:t>
      </w:r>
      <w:r w:rsidR="00787F1E">
        <w:rPr>
          <w:bCs/>
        </w:rPr>
        <w:t xml:space="preserve">the PA would be performing worse as a starting point, </w:t>
      </w:r>
      <w:r w:rsidR="00DE2169">
        <w:rPr>
          <w:bCs/>
        </w:rPr>
        <w:t xml:space="preserve">and therefore </w:t>
      </w:r>
      <w:r w:rsidR="00787F1E">
        <w:rPr>
          <w:bCs/>
        </w:rPr>
        <w:t xml:space="preserve">also A-MPR values would be slightly increased compared to </w:t>
      </w:r>
      <w:r w:rsidR="00DE2169">
        <w:rPr>
          <w:bCs/>
        </w:rPr>
        <w:t xml:space="preserve">selecting PC2 ACLR of 31 </w:t>
      </w:r>
      <w:proofErr w:type="spellStart"/>
      <w:r w:rsidR="00DE2169">
        <w:rPr>
          <w:bCs/>
        </w:rPr>
        <w:t>dB</w:t>
      </w:r>
      <w:r w:rsidR="0050487C">
        <w:rPr>
          <w:bCs/>
        </w:rPr>
        <w:t>.</w:t>
      </w:r>
      <w:proofErr w:type="spellEnd"/>
      <w:r w:rsidR="0050487C">
        <w:rPr>
          <w:bCs/>
        </w:rPr>
        <w:t xml:space="preserve"> Therefore, </w:t>
      </w:r>
      <w:r w:rsidR="00DE2169">
        <w:rPr>
          <w:bCs/>
        </w:rPr>
        <w:t xml:space="preserve">it is suggested to </w:t>
      </w:r>
      <w:r w:rsidR="004A6F97">
        <w:rPr>
          <w:bCs/>
        </w:rPr>
        <w:t xml:space="preserve">adopt 31 </w:t>
      </w:r>
      <w:proofErr w:type="spellStart"/>
      <w:r w:rsidR="004A6F97">
        <w:rPr>
          <w:bCs/>
        </w:rPr>
        <w:t>dBc</w:t>
      </w:r>
      <w:proofErr w:type="spellEnd"/>
      <w:r w:rsidR="004A6F97">
        <w:rPr>
          <w:bCs/>
        </w:rPr>
        <w:t xml:space="preserve"> ACLR both for PC2 and PC1.5 requirements</w:t>
      </w:r>
      <w:r w:rsidR="004D6B4C">
        <w:rPr>
          <w:bCs/>
        </w:rPr>
        <w:t xml:space="preserve">, with PC1.5 requirements being applied for both handheld and non-handheld </w:t>
      </w:r>
      <w:r w:rsidR="00375081">
        <w:rPr>
          <w:bCs/>
        </w:rPr>
        <w:t>designs</w:t>
      </w:r>
      <w:r w:rsidR="004A6F97">
        <w:rPr>
          <w:bCs/>
        </w:rPr>
        <w:t>.</w:t>
      </w:r>
    </w:p>
    <w:p w14:paraId="1CC74D27" w14:textId="35949F50" w:rsidR="00501275" w:rsidRPr="00501275" w:rsidRDefault="00501275" w:rsidP="00445E27">
      <w:pPr>
        <w:spacing w:after="120"/>
        <w:rPr>
          <w:bCs/>
        </w:rPr>
      </w:pPr>
      <w:r>
        <w:rPr>
          <w:bCs/>
        </w:rPr>
        <w:t xml:space="preserve">Situation is somewhat different for PC1, as the difference between TN ACLR and </w:t>
      </w:r>
      <w:r w:rsidR="00C31E7D">
        <w:rPr>
          <w:bCs/>
        </w:rPr>
        <w:t xml:space="preserve">simulation results is much larger. Also, TN PC1 usage has not become </w:t>
      </w:r>
      <w:proofErr w:type="gramStart"/>
      <w:r w:rsidR="00C31E7D">
        <w:rPr>
          <w:bCs/>
        </w:rPr>
        <w:t>widespread</w:t>
      </w:r>
      <w:proofErr w:type="gramEnd"/>
      <w:r w:rsidR="00C31E7D">
        <w:rPr>
          <w:bCs/>
        </w:rPr>
        <w:t xml:space="preserve"> and it is not clear if there are economies of scale to take advantage of.</w:t>
      </w:r>
      <w:r w:rsidR="001A7F1F">
        <w:rPr>
          <w:bCs/>
        </w:rPr>
        <w:t xml:space="preserve"> Therefore, it would be useful to </w:t>
      </w:r>
      <w:r w:rsidR="00974CA5">
        <w:rPr>
          <w:bCs/>
        </w:rPr>
        <w:t>relax the PC1 requirements to ease implementation and increase the likelihood that designs will appear.</w:t>
      </w:r>
      <w:r w:rsidR="00C31E7D">
        <w:rPr>
          <w:bCs/>
        </w:rPr>
        <w:t xml:space="preserve"> </w:t>
      </w:r>
    </w:p>
    <w:p w14:paraId="5265BDDF" w14:textId="4E917BDE" w:rsidR="00375081" w:rsidRDefault="00220184" w:rsidP="00445E27">
      <w:pPr>
        <w:spacing w:after="120"/>
        <w:rPr>
          <w:b/>
        </w:rPr>
      </w:pPr>
      <w:r>
        <w:rPr>
          <w:b/>
        </w:rPr>
        <w:t xml:space="preserve">Proposal 3: </w:t>
      </w:r>
      <w:r w:rsidR="00E416C0">
        <w:rPr>
          <w:b/>
        </w:rPr>
        <w:t xml:space="preserve">NR NTN UE ACLR is 31 </w:t>
      </w:r>
      <w:proofErr w:type="spellStart"/>
      <w:r w:rsidR="00E416C0">
        <w:rPr>
          <w:b/>
        </w:rPr>
        <w:t>dBc</w:t>
      </w:r>
      <w:proofErr w:type="spellEnd"/>
      <w:r w:rsidR="00E416C0">
        <w:rPr>
          <w:b/>
        </w:rPr>
        <w:t xml:space="preserve"> for PC2 and PC1.5</w:t>
      </w:r>
      <w:r w:rsidR="00375081">
        <w:rPr>
          <w:b/>
        </w:rPr>
        <w:t>, both for handheld and non-handheld UEs</w:t>
      </w:r>
      <w:r w:rsidR="00E416C0">
        <w:rPr>
          <w:b/>
        </w:rPr>
        <w:t>.</w:t>
      </w:r>
    </w:p>
    <w:p w14:paraId="7AD7A7B1" w14:textId="3E49D475" w:rsidR="00220184" w:rsidRPr="00375081" w:rsidRDefault="00375081" w:rsidP="00445E27">
      <w:pPr>
        <w:spacing w:after="120"/>
        <w:rPr>
          <w:b/>
        </w:rPr>
      </w:pPr>
      <w:r>
        <w:rPr>
          <w:b/>
        </w:rPr>
        <w:t xml:space="preserve">Proposal 4: NR NTN UE ACLR is 31 </w:t>
      </w:r>
      <w:proofErr w:type="spellStart"/>
      <w:r>
        <w:rPr>
          <w:b/>
        </w:rPr>
        <w:t>dBc</w:t>
      </w:r>
      <w:proofErr w:type="spellEnd"/>
      <w:r w:rsidRPr="00375081">
        <w:rPr>
          <w:b/>
        </w:rPr>
        <w:t xml:space="preserve"> for PC1 non-handheld UEs.</w:t>
      </w:r>
    </w:p>
    <w:p w14:paraId="2FCE7C72" w14:textId="6A150BE0" w:rsidR="009D0A75" w:rsidRDefault="006C215C" w:rsidP="00445E27">
      <w:pPr>
        <w:spacing w:after="120"/>
        <w:rPr>
          <w:bCs/>
        </w:rPr>
      </w:pPr>
      <w:r>
        <w:rPr>
          <w:bCs/>
        </w:rPr>
        <w:t>When ACLR is align with TN requirements, also MPR can be directly re-used.</w:t>
      </w:r>
    </w:p>
    <w:p w14:paraId="69D7165D" w14:textId="64638EE0" w:rsidR="006C215C" w:rsidRPr="006C215C" w:rsidRDefault="006C215C" w:rsidP="00445E27">
      <w:pPr>
        <w:spacing w:after="120"/>
        <w:rPr>
          <w:b/>
        </w:rPr>
      </w:pPr>
      <w:r w:rsidRPr="006C215C">
        <w:rPr>
          <w:b/>
        </w:rPr>
        <w:t xml:space="preserve">Proposal </w:t>
      </w:r>
      <w:r w:rsidR="00942D7C">
        <w:rPr>
          <w:b/>
        </w:rPr>
        <w:t>5</w:t>
      </w:r>
      <w:r w:rsidRPr="006C215C">
        <w:rPr>
          <w:b/>
        </w:rPr>
        <w:t>:</w:t>
      </w:r>
      <w:r>
        <w:rPr>
          <w:b/>
        </w:rPr>
        <w:t xml:space="preserve"> NR NTN PC2 and PC1.5 MPR are </w:t>
      </w:r>
      <w:r w:rsidR="003A010D">
        <w:rPr>
          <w:b/>
        </w:rPr>
        <w:t>the same as specified for TN UE in TS 38.101-1</w:t>
      </w:r>
    </w:p>
    <w:p w14:paraId="63217B4E" w14:textId="701D3F2A" w:rsidR="00041CB8" w:rsidRDefault="00164402" w:rsidP="00445E27">
      <w:pPr>
        <w:spacing w:after="120"/>
        <w:rPr>
          <w:bCs/>
        </w:rPr>
      </w:pPr>
      <w:r w:rsidRPr="00164402">
        <w:rPr>
          <w:bCs/>
        </w:rPr>
        <w:t>T</w:t>
      </w:r>
      <w:r>
        <w:rPr>
          <w:bCs/>
        </w:rPr>
        <w:t xml:space="preserve">o conclude band specific Tx requirements, A-MPR evaluations are needed. Therefore, next step would need to be A-MPR evaluations </w:t>
      </w:r>
      <w:r w:rsidR="002654EB">
        <w:rPr>
          <w:bCs/>
        </w:rPr>
        <w:t>against specified NS-values</w:t>
      </w:r>
      <w:r w:rsidR="003A010D">
        <w:rPr>
          <w:bCs/>
        </w:rPr>
        <w:t>. For the evaluations it can be assumed that also SEM, EVM and in-band emission requirements are not changed.</w:t>
      </w:r>
    </w:p>
    <w:p w14:paraId="58139CE9" w14:textId="27C533C0" w:rsidR="007F7B2F" w:rsidRPr="007B3154" w:rsidRDefault="002654EB" w:rsidP="00445E27">
      <w:pPr>
        <w:spacing w:after="120"/>
        <w:rPr>
          <w:b/>
        </w:rPr>
      </w:pPr>
      <w:r w:rsidRPr="002654EB">
        <w:rPr>
          <w:b/>
        </w:rPr>
        <w:t xml:space="preserve">Proposal </w:t>
      </w:r>
      <w:r w:rsidR="00942D7C">
        <w:rPr>
          <w:b/>
        </w:rPr>
        <w:t>6</w:t>
      </w:r>
      <w:r w:rsidRPr="002654EB">
        <w:rPr>
          <w:b/>
        </w:rPr>
        <w:t xml:space="preserve">: </w:t>
      </w:r>
      <w:r>
        <w:rPr>
          <w:b/>
        </w:rPr>
        <w:t>Aim for A-MPR evaluations for RAN4#114bis</w:t>
      </w:r>
      <w:r w:rsidR="00BD6821">
        <w:rPr>
          <w:b/>
        </w:rPr>
        <w:t>.</w:t>
      </w:r>
    </w:p>
    <w:p w14:paraId="1C327FC9" w14:textId="77777777" w:rsidR="00567C4C" w:rsidRPr="00637ECA" w:rsidRDefault="00567C4C"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6A6BC914" w:rsidR="00D645D7" w:rsidRDefault="005F7C8C" w:rsidP="004F6404">
      <w:pPr>
        <w:spacing w:after="120"/>
        <w:jc w:val="both"/>
        <w:rPr>
          <w:lang w:eastAsia="ja-JP"/>
        </w:rPr>
      </w:pPr>
      <w:r w:rsidRPr="00501988">
        <w:rPr>
          <w:lang w:eastAsia="ja-JP"/>
        </w:rPr>
        <w:t xml:space="preserve">In this </w:t>
      </w:r>
      <w:r w:rsidR="00ED5A34">
        <w:rPr>
          <w:lang w:eastAsia="ja-JP"/>
        </w:rPr>
        <w:t>NTN HPUE operation was</w:t>
      </w:r>
      <w:r w:rsidR="00522FB9">
        <w:rPr>
          <w:lang w:eastAsia="ja-JP"/>
        </w:rPr>
        <w:t xml:space="preserve"> discussed</w:t>
      </w:r>
      <w:r w:rsidR="00EB3836">
        <w:rPr>
          <w:lang w:eastAsia="ja-JP"/>
        </w:rPr>
        <w:t>. Following observations and proposals were made</w:t>
      </w:r>
      <w:r w:rsidR="00250C3B">
        <w:rPr>
          <w:lang w:eastAsia="ja-JP"/>
        </w:rPr>
        <w:t>:</w:t>
      </w:r>
    </w:p>
    <w:p w14:paraId="631D2C8D" w14:textId="77777777" w:rsidR="00041CB8" w:rsidRDefault="00041CB8" w:rsidP="00041CB8">
      <w:pPr>
        <w:spacing w:after="120"/>
        <w:rPr>
          <w:b/>
        </w:rPr>
      </w:pPr>
      <w:r w:rsidRPr="00321ECF">
        <w:rPr>
          <w:b/>
        </w:rPr>
        <w:t xml:space="preserve">Observation 1: Single Tx PC2 PAs and duplexers </w:t>
      </w:r>
      <w:r>
        <w:rPr>
          <w:b/>
        </w:rPr>
        <w:t xml:space="preserve">are </w:t>
      </w:r>
      <w:r w:rsidRPr="00321ECF">
        <w:rPr>
          <w:b/>
        </w:rPr>
        <w:t>feasible.</w:t>
      </w:r>
    </w:p>
    <w:p w14:paraId="71430DEA" w14:textId="77777777" w:rsidR="00041CB8" w:rsidRPr="00321ECF" w:rsidRDefault="00041CB8" w:rsidP="00041CB8">
      <w:pPr>
        <w:spacing w:after="120"/>
        <w:rPr>
          <w:b/>
        </w:rPr>
      </w:pPr>
      <w:r>
        <w:rPr>
          <w:b/>
        </w:rPr>
        <w:t>Observation 2: Typically, the component availability improves once the standard is in place allowing the use of such components – without a market there is limited need to make such components commercially available.</w:t>
      </w:r>
    </w:p>
    <w:p w14:paraId="3479AB0A" w14:textId="77777777" w:rsidR="00041CB8" w:rsidRDefault="00041CB8" w:rsidP="00041CB8">
      <w:pPr>
        <w:spacing w:after="120"/>
        <w:rPr>
          <w:b/>
        </w:rPr>
      </w:pPr>
      <w:r w:rsidRPr="000950D3">
        <w:rPr>
          <w:b/>
        </w:rPr>
        <w:t xml:space="preserve">Proposal </w:t>
      </w:r>
      <w:r>
        <w:rPr>
          <w:b/>
        </w:rPr>
        <w:t>1</w:t>
      </w:r>
      <w:r w:rsidRPr="000950D3">
        <w:rPr>
          <w:b/>
        </w:rPr>
        <w:t>: PC1.5 is feasible for NR NTN for handheld devices.</w:t>
      </w:r>
      <w:r>
        <w:rPr>
          <w:b/>
        </w:rPr>
        <w:t xml:space="preserve"> At least 2 Tx solution is feasible for FDD.</w:t>
      </w:r>
    </w:p>
    <w:p w14:paraId="27CC757C" w14:textId="77777777" w:rsidR="00041CB8" w:rsidRPr="00935376" w:rsidRDefault="00041CB8" w:rsidP="00041CB8">
      <w:pPr>
        <w:spacing w:after="120"/>
        <w:rPr>
          <w:b/>
        </w:rPr>
      </w:pPr>
      <w:r w:rsidRPr="00935376">
        <w:rPr>
          <w:b/>
        </w:rPr>
        <w:t>Observation 3: 2Tx PC1.5 solution allows taking advantage of economies of scale of handheld ecosystem.</w:t>
      </w:r>
    </w:p>
    <w:p w14:paraId="69C3EF49" w14:textId="77777777" w:rsidR="00041CB8" w:rsidRPr="00935376" w:rsidRDefault="00041CB8" w:rsidP="00041CB8">
      <w:pPr>
        <w:spacing w:after="120"/>
        <w:rPr>
          <w:b/>
        </w:rPr>
      </w:pPr>
      <w:r w:rsidRPr="00935376">
        <w:rPr>
          <w:b/>
        </w:rPr>
        <w:t xml:space="preserve">Observation 4: 2Tx PC1.5 solution is preferred for automotive industry use cases     </w:t>
      </w:r>
    </w:p>
    <w:p w14:paraId="1CBFAA2C" w14:textId="77777777" w:rsidR="00041CB8" w:rsidRDefault="00041CB8" w:rsidP="00041CB8">
      <w:pPr>
        <w:spacing w:after="120"/>
        <w:rPr>
          <w:b/>
        </w:rPr>
      </w:pPr>
      <w:r w:rsidRPr="000950D3">
        <w:rPr>
          <w:b/>
        </w:rPr>
        <w:t xml:space="preserve">Proposal </w:t>
      </w:r>
      <w:r>
        <w:rPr>
          <w:b/>
        </w:rPr>
        <w:t>2</w:t>
      </w:r>
      <w:r w:rsidRPr="000950D3">
        <w:rPr>
          <w:b/>
        </w:rPr>
        <w:t xml:space="preserve">: </w:t>
      </w:r>
      <w:r>
        <w:rPr>
          <w:b/>
        </w:rPr>
        <w:t>PC1.5 is feasible for NR NTN non-handheld devices</w:t>
      </w:r>
      <w:r w:rsidRPr="000950D3">
        <w:rPr>
          <w:b/>
        </w:rPr>
        <w:t>.</w:t>
      </w:r>
      <w:r>
        <w:rPr>
          <w:b/>
        </w:rPr>
        <w:t xml:space="preserve"> Requirements shall be defined at least for 2Tx solution.</w:t>
      </w:r>
    </w:p>
    <w:p w14:paraId="45B54F44" w14:textId="77777777" w:rsidR="00942D7C" w:rsidRDefault="00942D7C" w:rsidP="00942D7C">
      <w:pPr>
        <w:spacing w:after="120"/>
        <w:rPr>
          <w:b/>
        </w:rPr>
      </w:pPr>
      <w:r>
        <w:rPr>
          <w:b/>
        </w:rPr>
        <w:t xml:space="preserve">Proposal 3: NR NTN UE ACLR is 31 </w:t>
      </w:r>
      <w:proofErr w:type="spellStart"/>
      <w:r>
        <w:rPr>
          <w:b/>
        </w:rPr>
        <w:t>dBc</w:t>
      </w:r>
      <w:proofErr w:type="spellEnd"/>
      <w:r>
        <w:rPr>
          <w:b/>
        </w:rPr>
        <w:t xml:space="preserve"> for PC2 and PC1.5, both for handheld and non-handheld UEs.</w:t>
      </w:r>
    </w:p>
    <w:p w14:paraId="57AEB00E" w14:textId="77777777" w:rsidR="00942D7C" w:rsidRPr="00375081" w:rsidRDefault="00942D7C" w:rsidP="00942D7C">
      <w:pPr>
        <w:spacing w:after="120"/>
        <w:rPr>
          <w:b/>
        </w:rPr>
      </w:pPr>
      <w:r>
        <w:rPr>
          <w:b/>
        </w:rPr>
        <w:t xml:space="preserve">Proposal 4: NR NTN UE ACLR is 31 </w:t>
      </w:r>
      <w:proofErr w:type="spellStart"/>
      <w:r>
        <w:rPr>
          <w:b/>
        </w:rPr>
        <w:t>dBc</w:t>
      </w:r>
      <w:proofErr w:type="spellEnd"/>
      <w:r w:rsidRPr="00375081">
        <w:rPr>
          <w:b/>
        </w:rPr>
        <w:t xml:space="preserve"> for PC1 non-handheld UEs.</w:t>
      </w:r>
    </w:p>
    <w:p w14:paraId="482989B1" w14:textId="77777777" w:rsidR="00942D7C" w:rsidRPr="006C215C" w:rsidRDefault="00942D7C" w:rsidP="00942D7C">
      <w:pPr>
        <w:spacing w:after="120"/>
        <w:rPr>
          <w:b/>
        </w:rPr>
      </w:pPr>
      <w:r w:rsidRPr="006C215C">
        <w:rPr>
          <w:b/>
        </w:rPr>
        <w:t xml:space="preserve">Proposal </w:t>
      </w:r>
      <w:r>
        <w:rPr>
          <w:b/>
        </w:rPr>
        <w:t>5</w:t>
      </w:r>
      <w:r w:rsidRPr="006C215C">
        <w:rPr>
          <w:b/>
        </w:rPr>
        <w:t>:</w:t>
      </w:r>
      <w:r>
        <w:rPr>
          <w:b/>
        </w:rPr>
        <w:t xml:space="preserve"> NR NTN PC2 and PC1.5 MPR are the same as specified for TN UE in TS 38.101-1</w:t>
      </w:r>
    </w:p>
    <w:p w14:paraId="5A088BC2" w14:textId="77777777" w:rsidR="00942D7C" w:rsidRPr="007B3154" w:rsidRDefault="00942D7C" w:rsidP="00942D7C">
      <w:pPr>
        <w:spacing w:after="120"/>
        <w:rPr>
          <w:b/>
        </w:rPr>
      </w:pPr>
      <w:r w:rsidRPr="002654EB">
        <w:rPr>
          <w:b/>
        </w:rPr>
        <w:t xml:space="preserve">Proposal </w:t>
      </w:r>
      <w:r>
        <w:rPr>
          <w:b/>
        </w:rPr>
        <w:t>6</w:t>
      </w:r>
      <w:r w:rsidRPr="002654EB">
        <w:rPr>
          <w:b/>
        </w:rPr>
        <w:t xml:space="preserve">: </w:t>
      </w:r>
      <w:r>
        <w:rPr>
          <w:b/>
        </w:rPr>
        <w:t>Aim for A-MPR evaluations for RAN4#114bis.</w:t>
      </w:r>
    </w:p>
    <w:p w14:paraId="33CF63CD" w14:textId="77777777" w:rsidR="009146A4" w:rsidRPr="00ED5A34" w:rsidRDefault="009146A4" w:rsidP="00ED5A34">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B4ED11D" w14:textId="77777777" w:rsidR="00E11B6D" w:rsidRDefault="00E11B6D" w:rsidP="00E465BF">
      <w:pPr>
        <w:pStyle w:val="CRCoverPage"/>
        <w:spacing w:after="0"/>
        <w:ind w:left="538" w:hanging="438"/>
        <w:jc w:val="both"/>
        <w:rPr>
          <w:rFonts w:ascii="Times New Roman" w:eastAsia="MS Mincho" w:hAnsi="Times New Roman"/>
          <w:lang w:val="en-US" w:eastAsia="de-DE"/>
        </w:rPr>
      </w:pPr>
    </w:p>
    <w:p w14:paraId="414E1102" w14:textId="565374F9" w:rsidR="00E11B6D" w:rsidRPr="00E465BF" w:rsidRDefault="00E11B6D" w:rsidP="00E465BF">
      <w:pPr>
        <w:pStyle w:val="CRCoverPage"/>
        <w:spacing w:after="0"/>
        <w:ind w:left="538" w:hanging="438"/>
        <w:jc w:val="both"/>
        <w:rPr>
          <w:rFonts w:ascii="Times New Roman" w:eastAsia="MS Mincho" w:hAnsi="Times New Roman"/>
          <w:lang w:val="en-US" w:eastAsia="de-DE"/>
        </w:rPr>
      </w:pP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352CC" w14:textId="77777777" w:rsidR="002379ED" w:rsidRDefault="002379ED">
      <w:r>
        <w:separator/>
      </w:r>
    </w:p>
  </w:endnote>
  <w:endnote w:type="continuationSeparator" w:id="0">
    <w:p w14:paraId="345BE783" w14:textId="77777777" w:rsidR="002379ED" w:rsidRDefault="002379ED">
      <w:r>
        <w:continuationSeparator/>
      </w:r>
    </w:p>
  </w:endnote>
  <w:endnote w:type="continuationNotice" w:id="1">
    <w:p w14:paraId="13EB5DA6" w14:textId="77777777" w:rsidR="002379ED" w:rsidRDefault="00237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0AB06" w14:textId="77777777" w:rsidR="002379ED" w:rsidRDefault="002379ED">
      <w:r>
        <w:separator/>
      </w:r>
    </w:p>
  </w:footnote>
  <w:footnote w:type="continuationSeparator" w:id="0">
    <w:p w14:paraId="200EE021" w14:textId="77777777" w:rsidR="002379ED" w:rsidRDefault="002379ED">
      <w:r>
        <w:continuationSeparator/>
      </w:r>
    </w:p>
  </w:footnote>
  <w:footnote w:type="continuationNotice" w:id="1">
    <w:p w14:paraId="59D94C73" w14:textId="77777777" w:rsidR="002379ED" w:rsidRDefault="002379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8"/>
  </w:num>
  <w:num w:numId="3" w16cid:durableId="1813211327">
    <w:abstractNumId w:val="16"/>
  </w:num>
  <w:num w:numId="4" w16cid:durableId="689525352">
    <w:abstractNumId w:val="19"/>
  </w:num>
  <w:num w:numId="5" w16cid:durableId="923681041">
    <w:abstractNumId w:val="14"/>
  </w:num>
  <w:num w:numId="6" w16cid:durableId="1715036026">
    <w:abstractNumId w:val="36"/>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2"/>
  </w:num>
  <w:num w:numId="12" w16cid:durableId="53435517">
    <w:abstractNumId w:val="5"/>
  </w:num>
  <w:num w:numId="13" w16cid:durableId="2140412589">
    <w:abstractNumId w:val="33"/>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7"/>
  </w:num>
  <w:num w:numId="22" w16cid:durableId="399711259">
    <w:abstractNumId w:val="18"/>
  </w:num>
  <w:num w:numId="23" w16cid:durableId="1547181433">
    <w:abstractNumId w:val="24"/>
  </w:num>
  <w:num w:numId="24" w16cid:durableId="1737586952">
    <w:abstractNumId w:val="10"/>
  </w:num>
  <w:num w:numId="25" w16cid:durableId="136725342">
    <w:abstractNumId w:val="30"/>
  </w:num>
  <w:num w:numId="26" w16cid:durableId="720058865">
    <w:abstractNumId w:val="20"/>
  </w:num>
  <w:num w:numId="27" w16cid:durableId="272711782">
    <w:abstractNumId w:val="6"/>
  </w:num>
  <w:num w:numId="28" w16cid:durableId="1001855276">
    <w:abstractNumId w:val="8"/>
  </w:num>
  <w:num w:numId="29" w16cid:durableId="1378165158">
    <w:abstractNumId w:val="39"/>
  </w:num>
  <w:num w:numId="30" w16cid:durableId="129372776">
    <w:abstractNumId w:val="26"/>
  </w:num>
  <w:num w:numId="31" w16cid:durableId="1392314572">
    <w:abstractNumId w:val="25"/>
  </w:num>
  <w:num w:numId="32" w16cid:durableId="889608438">
    <w:abstractNumId w:val="34"/>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0"/>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1"/>
  </w:num>
  <w:num w:numId="40" w16cid:durableId="1999576659">
    <w:abstractNumId w:val="35"/>
  </w:num>
  <w:num w:numId="41" w16cid:durableId="4682078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12A0"/>
    <w:rsid w:val="000325F4"/>
    <w:rsid w:val="00032D96"/>
    <w:rsid w:val="00033289"/>
    <w:rsid w:val="0003449C"/>
    <w:rsid w:val="00034A75"/>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1CB8"/>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3F68"/>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D5C"/>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9BD"/>
    <w:rsid w:val="000A2CC7"/>
    <w:rsid w:val="000A2FD7"/>
    <w:rsid w:val="000A357C"/>
    <w:rsid w:val="000A373A"/>
    <w:rsid w:val="000A3A32"/>
    <w:rsid w:val="000A478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02"/>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8C9"/>
    <w:rsid w:val="00174C18"/>
    <w:rsid w:val="001756A4"/>
    <w:rsid w:val="0017573D"/>
    <w:rsid w:val="0017583D"/>
    <w:rsid w:val="00176173"/>
    <w:rsid w:val="00176D16"/>
    <w:rsid w:val="00177A90"/>
    <w:rsid w:val="00180470"/>
    <w:rsid w:val="00180B10"/>
    <w:rsid w:val="0018117C"/>
    <w:rsid w:val="00181E89"/>
    <w:rsid w:val="00181E8C"/>
    <w:rsid w:val="00182902"/>
    <w:rsid w:val="00182B34"/>
    <w:rsid w:val="001838A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A7F1F"/>
    <w:rsid w:val="001B058F"/>
    <w:rsid w:val="001B0D02"/>
    <w:rsid w:val="001B136F"/>
    <w:rsid w:val="001B2374"/>
    <w:rsid w:val="001B27F9"/>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223F"/>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184"/>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379ED"/>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4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26E"/>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50B7"/>
    <w:rsid w:val="00295348"/>
    <w:rsid w:val="002965DC"/>
    <w:rsid w:val="00296D04"/>
    <w:rsid w:val="00297FF2"/>
    <w:rsid w:val="002A0907"/>
    <w:rsid w:val="002A0D18"/>
    <w:rsid w:val="002A0ED1"/>
    <w:rsid w:val="002A120F"/>
    <w:rsid w:val="002A1409"/>
    <w:rsid w:val="002A1EB5"/>
    <w:rsid w:val="002A201D"/>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CA0"/>
    <w:rsid w:val="002B6DBF"/>
    <w:rsid w:val="002B6E26"/>
    <w:rsid w:val="002B717A"/>
    <w:rsid w:val="002B718C"/>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07BC"/>
    <w:rsid w:val="002F1C21"/>
    <w:rsid w:val="002F2E19"/>
    <w:rsid w:val="002F3313"/>
    <w:rsid w:val="002F3E4B"/>
    <w:rsid w:val="002F4950"/>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08E"/>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1ECF"/>
    <w:rsid w:val="003221D4"/>
    <w:rsid w:val="00322E56"/>
    <w:rsid w:val="00322EFC"/>
    <w:rsid w:val="00323591"/>
    <w:rsid w:val="00323A4C"/>
    <w:rsid w:val="00323FB2"/>
    <w:rsid w:val="00325732"/>
    <w:rsid w:val="00325805"/>
    <w:rsid w:val="0032592F"/>
    <w:rsid w:val="00326BAC"/>
    <w:rsid w:val="00330138"/>
    <w:rsid w:val="00330CAF"/>
    <w:rsid w:val="00330E59"/>
    <w:rsid w:val="00330E5E"/>
    <w:rsid w:val="00330F21"/>
    <w:rsid w:val="0033182D"/>
    <w:rsid w:val="0033194A"/>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081"/>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10D"/>
    <w:rsid w:val="003A03E4"/>
    <w:rsid w:val="003A04C8"/>
    <w:rsid w:val="003A08AB"/>
    <w:rsid w:val="003A0E18"/>
    <w:rsid w:val="003A17B8"/>
    <w:rsid w:val="003A18F7"/>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153"/>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4CB"/>
    <w:rsid w:val="003E04FD"/>
    <w:rsid w:val="003E09E8"/>
    <w:rsid w:val="003E0AAF"/>
    <w:rsid w:val="003E0BC1"/>
    <w:rsid w:val="003E0C6D"/>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1C"/>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423B"/>
    <w:rsid w:val="0042502A"/>
    <w:rsid w:val="00425FF6"/>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1BB3"/>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2C5"/>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73C"/>
    <w:rsid w:val="00483427"/>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43"/>
    <w:rsid w:val="0049768F"/>
    <w:rsid w:val="0049773F"/>
    <w:rsid w:val="004A0791"/>
    <w:rsid w:val="004A0E46"/>
    <w:rsid w:val="004A1082"/>
    <w:rsid w:val="004A1552"/>
    <w:rsid w:val="004A183D"/>
    <w:rsid w:val="004A6628"/>
    <w:rsid w:val="004A6F97"/>
    <w:rsid w:val="004A723E"/>
    <w:rsid w:val="004A7E16"/>
    <w:rsid w:val="004B0288"/>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29E"/>
    <w:rsid w:val="004D4636"/>
    <w:rsid w:val="004D4728"/>
    <w:rsid w:val="004D5327"/>
    <w:rsid w:val="004D6B4C"/>
    <w:rsid w:val="004D76E9"/>
    <w:rsid w:val="004E0255"/>
    <w:rsid w:val="004E1636"/>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6BE"/>
    <w:rsid w:val="00500C44"/>
    <w:rsid w:val="005010AE"/>
    <w:rsid w:val="00501275"/>
    <w:rsid w:val="005013D3"/>
    <w:rsid w:val="00501978"/>
    <w:rsid w:val="00501988"/>
    <w:rsid w:val="00503194"/>
    <w:rsid w:val="00504717"/>
    <w:rsid w:val="0050487C"/>
    <w:rsid w:val="00506628"/>
    <w:rsid w:val="0050795F"/>
    <w:rsid w:val="00507F5B"/>
    <w:rsid w:val="00510374"/>
    <w:rsid w:val="00510474"/>
    <w:rsid w:val="0051062B"/>
    <w:rsid w:val="00510A8D"/>
    <w:rsid w:val="00510B43"/>
    <w:rsid w:val="00511950"/>
    <w:rsid w:val="00511968"/>
    <w:rsid w:val="00511BB9"/>
    <w:rsid w:val="00511C33"/>
    <w:rsid w:val="00511EE0"/>
    <w:rsid w:val="00512CCA"/>
    <w:rsid w:val="00513368"/>
    <w:rsid w:val="00513C76"/>
    <w:rsid w:val="00514320"/>
    <w:rsid w:val="00515C9B"/>
    <w:rsid w:val="00516B0F"/>
    <w:rsid w:val="00517781"/>
    <w:rsid w:val="00520A1F"/>
    <w:rsid w:val="00520BD1"/>
    <w:rsid w:val="00520C5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3"/>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64D3"/>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C4C"/>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439"/>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0CA2"/>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3109"/>
    <w:rsid w:val="005D367E"/>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3837"/>
    <w:rsid w:val="005F3E58"/>
    <w:rsid w:val="005F4546"/>
    <w:rsid w:val="005F474B"/>
    <w:rsid w:val="005F50BF"/>
    <w:rsid w:val="005F69C4"/>
    <w:rsid w:val="005F6FED"/>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2D0E"/>
    <w:rsid w:val="00643C5B"/>
    <w:rsid w:val="00644499"/>
    <w:rsid w:val="006453DB"/>
    <w:rsid w:val="00646D74"/>
    <w:rsid w:val="006473D8"/>
    <w:rsid w:val="00647C4D"/>
    <w:rsid w:val="0065002F"/>
    <w:rsid w:val="006500EF"/>
    <w:rsid w:val="006502E7"/>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98B"/>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976FA"/>
    <w:rsid w:val="006A02CB"/>
    <w:rsid w:val="006A0691"/>
    <w:rsid w:val="006A0AC7"/>
    <w:rsid w:val="006A21E2"/>
    <w:rsid w:val="006A2296"/>
    <w:rsid w:val="006A256E"/>
    <w:rsid w:val="006A30DE"/>
    <w:rsid w:val="006A32AC"/>
    <w:rsid w:val="006A3B49"/>
    <w:rsid w:val="006A4158"/>
    <w:rsid w:val="006A44AE"/>
    <w:rsid w:val="006A4BEF"/>
    <w:rsid w:val="006A6D76"/>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15C"/>
    <w:rsid w:val="006C23BA"/>
    <w:rsid w:val="006C295D"/>
    <w:rsid w:val="006C30DD"/>
    <w:rsid w:val="006C3421"/>
    <w:rsid w:val="006C57F8"/>
    <w:rsid w:val="006C64BB"/>
    <w:rsid w:val="006C6544"/>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5D79"/>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3032E"/>
    <w:rsid w:val="00730B59"/>
    <w:rsid w:val="00730D61"/>
    <w:rsid w:val="007313E2"/>
    <w:rsid w:val="00731504"/>
    <w:rsid w:val="00731E3C"/>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87F1E"/>
    <w:rsid w:val="00791455"/>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D63"/>
    <w:rsid w:val="007B043E"/>
    <w:rsid w:val="007B0BFF"/>
    <w:rsid w:val="007B11A8"/>
    <w:rsid w:val="007B195F"/>
    <w:rsid w:val="007B1F7B"/>
    <w:rsid w:val="007B2BEA"/>
    <w:rsid w:val="007B3154"/>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B87"/>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36BC"/>
    <w:rsid w:val="007E37AB"/>
    <w:rsid w:val="007E44DF"/>
    <w:rsid w:val="007E4529"/>
    <w:rsid w:val="007E4C32"/>
    <w:rsid w:val="007E4F11"/>
    <w:rsid w:val="007E5113"/>
    <w:rsid w:val="007E5180"/>
    <w:rsid w:val="007E583E"/>
    <w:rsid w:val="007E5BBA"/>
    <w:rsid w:val="007E5EB5"/>
    <w:rsid w:val="007E77FF"/>
    <w:rsid w:val="007F06B0"/>
    <w:rsid w:val="007F0F5E"/>
    <w:rsid w:val="007F1158"/>
    <w:rsid w:val="007F19F8"/>
    <w:rsid w:val="007F1D8E"/>
    <w:rsid w:val="007F223F"/>
    <w:rsid w:val="007F2869"/>
    <w:rsid w:val="007F29CB"/>
    <w:rsid w:val="007F29E0"/>
    <w:rsid w:val="007F2F09"/>
    <w:rsid w:val="007F389E"/>
    <w:rsid w:val="007F3A04"/>
    <w:rsid w:val="007F46F5"/>
    <w:rsid w:val="007F4E81"/>
    <w:rsid w:val="007F5053"/>
    <w:rsid w:val="007F57AB"/>
    <w:rsid w:val="007F5B5B"/>
    <w:rsid w:val="007F62C0"/>
    <w:rsid w:val="007F7B2F"/>
    <w:rsid w:val="0080200C"/>
    <w:rsid w:val="0080242B"/>
    <w:rsid w:val="0080363B"/>
    <w:rsid w:val="00803C8D"/>
    <w:rsid w:val="008041EE"/>
    <w:rsid w:val="0080424E"/>
    <w:rsid w:val="008044AB"/>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03"/>
    <w:rsid w:val="00822F78"/>
    <w:rsid w:val="00823034"/>
    <w:rsid w:val="00824983"/>
    <w:rsid w:val="008249E9"/>
    <w:rsid w:val="008255E2"/>
    <w:rsid w:val="008264AA"/>
    <w:rsid w:val="0082782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0BD"/>
    <w:rsid w:val="00874322"/>
    <w:rsid w:val="00875119"/>
    <w:rsid w:val="00875253"/>
    <w:rsid w:val="00875EE7"/>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336"/>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49EF"/>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6EB"/>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376"/>
    <w:rsid w:val="00935D4C"/>
    <w:rsid w:val="00936619"/>
    <w:rsid w:val="00936738"/>
    <w:rsid w:val="009368E8"/>
    <w:rsid w:val="009370CA"/>
    <w:rsid w:val="0093724F"/>
    <w:rsid w:val="009400E3"/>
    <w:rsid w:val="00940463"/>
    <w:rsid w:val="00940C28"/>
    <w:rsid w:val="00940C61"/>
    <w:rsid w:val="00940F83"/>
    <w:rsid w:val="00940FA0"/>
    <w:rsid w:val="00941AED"/>
    <w:rsid w:val="00942D7C"/>
    <w:rsid w:val="009430EA"/>
    <w:rsid w:val="009437BA"/>
    <w:rsid w:val="009446FC"/>
    <w:rsid w:val="00945071"/>
    <w:rsid w:val="009457EB"/>
    <w:rsid w:val="00945D75"/>
    <w:rsid w:val="0094630A"/>
    <w:rsid w:val="00946F0E"/>
    <w:rsid w:val="00947D5E"/>
    <w:rsid w:val="009500A7"/>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CBB"/>
    <w:rsid w:val="00973E74"/>
    <w:rsid w:val="00973F70"/>
    <w:rsid w:val="0097417F"/>
    <w:rsid w:val="0097458F"/>
    <w:rsid w:val="0097466B"/>
    <w:rsid w:val="00974CA5"/>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4F3"/>
    <w:rsid w:val="00994A81"/>
    <w:rsid w:val="00995130"/>
    <w:rsid w:val="00995252"/>
    <w:rsid w:val="00995415"/>
    <w:rsid w:val="009954D3"/>
    <w:rsid w:val="0099579B"/>
    <w:rsid w:val="0099651C"/>
    <w:rsid w:val="00996923"/>
    <w:rsid w:val="0099722D"/>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33A6"/>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048"/>
    <w:rsid w:val="009C6182"/>
    <w:rsid w:val="009C6654"/>
    <w:rsid w:val="009C699C"/>
    <w:rsid w:val="009C6A43"/>
    <w:rsid w:val="009C7495"/>
    <w:rsid w:val="009C7D58"/>
    <w:rsid w:val="009D0348"/>
    <w:rsid w:val="009D06E4"/>
    <w:rsid w:val="009D0A75"/>
    <w:rsid w:val="009D0DC9"/>
    <w:rsid w:val="009D1620"/>
    <w:rsid w:val="009D1BF6"/>
    <w:rsid w:val="009D1CCE"/>
    <w:rsid w:val="009D337E"/>
    <w:rsid w:val="009D33E2"/>
    <w:rsid w:val="009D3FC1"/>
    <w:rsid w:val="009D483C"/>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3C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D30"/>
    <w:rsid w:val="00A36F5E"/>
    <w:rsid w:val="00A374E6"/>
    <w:rsid w:val="00A374F0"/>
    <w:rsid w:val="00A378BF"/>
    <w:rsid w:val="00A37A93"/>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4E2"/>
    <w:rsid w:val="00A90FC4"/>
    <w:rsid w:val="00A91468"/>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16D"/>
    <w:rsid w:val="00AA1FFE"/>
    <w:rsid w:val="00AA22B8"/>
    <w:rsid w:val="00AA305A"/>
    <w:rsid w:val="00AA46E9"/>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3755"/>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40"/>
    <w:rsid w:val="00B37C78"/>
    <w:rsid w:val="00B402DC"/>
    <w:rsid w:val="00B407A6"/>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0F0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071"/>
    <w:rsid w:val="00BB4BE8"/>
    <w:rsid w:val="00BB556C"/>
    <w:rsid w:val="00BB56A0"/>
    <w:rsid w:val="00BB5764"/>
    <w:rsid w:val="00BB5EBC"/>
    <w:rsid w:val="00BB6120"/>
    <w:rsid w:val="00BB63B7"/>
    <w:rsid w:val="00BB6B4E"/>
    <w:rsid w:val="00BB6BA7"/>
    <w:rsid w:val="00BB701B"/>
    <w:rsid w:val="00BB7505"/>
    <w:rsid w:val="00BB7650"/>
    <w:rsid w:val="00BB7668"/>
    <w:rsid w:val="00BC056E"/>
    <w:rsid w:val="00BC0DC7"/>
    <w:rsid w:val="00BC0E58"/>
    <w:rsid w:val="00BC1706"/>
    <w:rsid w:val="00BC1D22"/>
    <w:rsid w:val="00BC3397"/>
    <w:rsid w:val="00BC393F"/>
    <w:rsid w:val="00BC3AB4"/>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821"/>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6ED"/>
    <w:rsid w:val="00C1118D"/>
    <w:rsid w:val="00C114FF"/>
    <w:rsid w:val="00C12C8C"/>
    <w:rsid w:val="00C13F19"/>
    <w:rsid w:val="00C15E01"/>
    <w:rsid w:val="00C1644F"/>
    <w:rsid w:val="00C165FE"/>
    <w:rsid w:val="00C16E42"/>
    <w:rsid w:val="00C176F5"/>
    <w:rsid w:val="00C179F3"/>
    <w:rsid w:val="00C17A7F"/>
    <w:rsid w:val="00C17D43"/>
    <w:rsid w:val="00C17F95"/>
    <w:rsid w:val="00C2017A"/>
    <w:rsid w:val="00C2031B"/>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1E7D"/>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4381"/>
    <w:rsid w:val="00C45333"/>
    <w:rsid w:val="00C46324"/>
    <w:rsid w:val="00C46D71"/>
    <w:rsid w:val="00C47251"/>
    <w:rsid w:val="00C5002D"/>
    <w:rsid w:val="00C50C7C"/>
    <w:rsid w:val="00C5182F"/>
    <w:rsid w:val="00C52CA9"/>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941"/>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3FB0"/>
    <w:rsid w:val="00CD4853"/>
    <w:rsid w:val="00CD4FAE"/>
    <w:rsid w:val="00CD52C7"/>
    <w:rsid w:val="00CD5523"/>
    <w:rsid w:val="00CD60C8"/>
    <w:rsid w:val="00CD6C5B"/>
    <w:rsid w:val="00CD6C8D"/>
    <w:rsid w:val="00CD7104"/>
    <w:rsid w:val="00CD7218"/>
    <w:rsid w:val="00CD742B"/>
    <w:rsid w:val="00CD78F3"/>
    <w:rsid w:val="00CE058B"/>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013"/>
    <w:rsid w:val="00D02313"/>
    <w:rsid w:val="00D0318D"/>
    <w:rsid w:val="00D031B2"/>
    <w:rsid w:val="00D037E7"/>
    <w:rsid w:val="00D03C8C"/>
    <w:rsid w:val="00D03F3D"/>
    <w:rsid w:val="00D04615"/>
    <w:rsid w:val="00D0475C"/>
    <w:rsid w:val="00D04BF6"/>
    <w:rsid w:val="00D0545E"/>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09D"/>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2C18"/>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1910"/>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7FA0"/>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169"/>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10DD"/>
    <w:rsid w:val="00E11B6D"/>
    <w:rsid w:val="00E12796"/>
    <w:rsid w:val="00E136C0"/>
    <w:rsid w:val="00E13F8C"/>
    <w:rsid w:val="00E141C4"/>
    <w:rsid w:val="00E141DE"/>
    <w:rsid w:val="00E144EB"/>
    <w:rsid w:val="00E15578"/>
    <w:rsid w:val="00E15582"/>
    <w:rsid w:val="00E15C89"/>
    <w:rsid w:val="00E163A0"/>
    <w:rsid w:val="00E167BC"/>
    <w:rsid w:val="00E1703C"/>
    <w:rsid w:val="00E2013D"/>
    <w:rsid w:val="00E20FBD"/>
    <w:rsid w:val="00E210C4"/>
    <w:rsid w:val="00E210DD"/>
    <w:rsid w:val="00E21A5D"/>
    <w:rsid w:val="00E2328B"/>
    <w:rsid w:val="00E23D79"/>
    <w:rsid w:val="00E24EC6"/>
    <w:rsid w:val="00E25037"/>
    <w:rsid w:val="00E25633"/>
    <w:rsid w:val="00E25CF4"/>
    <w:rsid w:val="00E262D7"/>
    <w:rsid w:val="00E26BB7"/>
    <w:rsid w:val="00E3035D"/>
    <w:rsid w:val="00E307BA"/>
    <w:rsid w:val="00E30A5A"/>
    <w:rsid w:val="00E3122D"/>
    <w:rsid w:val="00E317A8"/>
    <w:rsid w:val="00E3194F"/>
    <w:rsid w:val="00E3279F"/>
    <w:rsid w:val="00E327BC"/>
    <w:rsid w:val="00E32FBC"/>
    <w:rsid w:val="00E33307"/>
    <w:rsid w:val="00E33C8A"/>
    <w:rsid w:val="00E3430B"/>
    <w:rsid w:val="00E343E4"/>
    <w:rsid w:val="00E357A4"/>
    <w:rsid w:val="00E374D7"/>
    <w:rsid w:val="00E37A26"/>
    <w:rsid w:val="00E40979"/>
    <w:rsid w:val="00E40EA7"/>
    <w:rsid w:val="00E411CE"/>
    <w:rsid w:val="00E4151C"/>
    <w:rsid w:val="00E41539"/>
    <w:rsid w:val="00E416C0"/>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994"/>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33"/>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D8D"/>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B5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3D55"/>
    <w:rsid w:val="00FE481B"/>
    <w:rsid w:val="00FE70C7"/>
    <w:rsid w:val="00FE77BA"/>
    <w:rsid w:val="00FE7BCB"/>
    <w:rsid w:val="00FF045C"/>
    <w:rsid w:val="00FF05E3"/>
    <w:rsid w:val="00FF09CA"/>
    <w:rsid w:val="00FF0A39"/>
    <w:rsid w:val="00FF252F"/>
    <w:rsid w:val="00FF28C7"/>
    <w:rsid w:val="00FF2F97"/>
    <w:rsid w:val="00FF36C4"/>
    <w:rsid w:val="00FF412D"/>
    <w:rsid w:val="00FF46C5"/>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127</TotalTime>
  <Pages>2</Pages>
  <Words>966</Words>
  <Characters>4947</Characters>
  <Application>Microsoft Office Word</Application>
  <DocSecurity>0</DocSecurity>
  <Lines>41</Lines>
  <Paragraphs>11</Paragraphs>
  <ScaleCrop>false</ScaleCrop>
  <Company>NEC Group</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94</cp:revision>
  <cp:lastPrinted>2012-09-28T09:55:00Z</cp:lastPrinted>
  <dcterms:created xsi:type="dcterms:W3CDTF">2024-11-08T13:52:00Z</dcterms:created>
  <dcterms:modified xsi:type="dcterms:W3CDTF">2025-02-07T17:29:00Z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